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C66" w:rsidRDefault="00D91C66" w:rsidP="00D91C66">
      <w:pPr>
        <w:pStyle w:val="Nagwek1"/>
        <w:jc w:val="center"/>
      </w:pPr>
      <w:bookmarkStart w:id="0" w:name="_GoBack"/>
      <w:bookmarkEnd w:id="0"/>
      <w:r>
        <w:t>KONSULTACJE ZAPISÓW LOKALNEJ STRATEGII ROZWOJU</w:t>
      </w:r>
    </w:p>
    <w:p w:rsidR="00D91C66" w:rsidRPr="000B0904" w:rsidRDefault="00D91C66" w:rsidP="00D91C66">
      <w:pPr>
        <w:pStyle w:val="Nagwek1"/>
        <w:jc w:val="center"/>
      </w:pPr>
      <w:r>
        <w:t>Opis monitoringu i ewaluacji na lata 2021-2027 (29)</w:t>
      </w:r>
    </w:p>
    <w:tbl>
      <w:tblPr>
        <w:tblStyle w:val="Tabela-Siatka"/>
        <w:tblW w:w="0" w:type="auto"/>
        <w:tblLook w:val="04A0" w:firstRow="1" w:lastRow="0" w:firstColumn="1" w:lastColumn="0" w:noHBand="0" w:noVBand="1"/>
      </w:tblPr>
      <w:tblGrid>
        <w:gridCol w:w="9062"/>
      </w:tblGrid>
      <w:tr w:rsidR="00D91C66" w:rsidRPr="000B0904" w:rsidTr="00A9587F">
        <w:tc>
          <w:tcPr>
            <w:tcW w:w="9627" w:type="dxa"/>
            <w:shd w:val="clear" w:color="auto" w:fill="8EAADB" w:themeFill="accent1" w:themeFillTint="99"/>
          </w:tcPr>
          <w:p w:rsidR="00D91C66" w:rsidRPr="000B0904" w:rsidRDefault="00D91C66" w:rsidP="00A9587F">
            <w:pPr>
              <w:rPr>
                <w:b/>
                <w:sz w:val="20"/>
                <w:szCs w:val="20"/>
              </w:rPr>
            </w:pPr>
            <w:r w:rsidRPr="000B0904">
              <w:rPr>
                <w:b/>
                <w:sz w:val="20"/>
                <w:szCs w:val="20"/>
              </w:rPr>
              <w:t xml:space="preserve">WNIOSKI Z PARTYCYPACYJNEGO PROCESU PRZYGOTOWYWANIA LSR: </w:t>
            </w:r>
          </w:p>
          <w:p w:rsidR="00D91C66" w:rsidRPr="000B0904" w:rsidRDefault="00D91C66" w:rsidP="00A9587F">
            <w:pPr>
              <w:rPr>
                <w:sz w:val="20"/>
                <w:szCs w:val="20"/>
              </w:rPr>
            </w:pPr>
            <w:r w:rsidRPr="000B0904">
              <w:rPr>
                <w:sz w:val="20"/>
                <w:szCs w:val="20"/>
              </w:rPr>
              <w:t xml:space="preserve">Jak wykazały informacje zebrane w trakcie internetowego badania ankietowego, LGD powinno informować mieszkańców i podmioty z obszaru LGD o swoich działaniach. W </w:t>
            </w:r>
            <w:proofErr w:type="gramStart"/>
            <w:r w:rsidRPr="000B0904">
              <w:rPr>
                <w:sz w:val="20"/>
                <w:szCs w:val="20"/>
              </w:rPr>
              <w:t>związku z czym</w:t>
            </w:r>
            <w:proofErr w:type="gramEnd"/>
            <w:r w:rsidRPr="000B0904">
              <w:rPr>
                <w:sz w:val="20"/>
                <w:szCs w:val="20"/>
              </w:rPr>
              <w:t xml:space="preserve"> planowane jest prowadzenie i bieżące aktualizowanie strony internetowej LGD www.</w:t>
            </w:r>
            <w:proofErr w:type="gramStart"/>
            <w:r w:rsidRPr="000B0904">
              <w:rPr>
                <w:sz w:val="20"/>
                <w:szCs w:val="20"/>
              </w:rPr>
              <w:t>zascianekmazowsza</w:t>
            </w:r>
            <w:proofErr w:type="gramEnd"/>
            <w:r w:rsidRPr="000B0904">
              <w:rPr>
                <w:sz w:val="20"/>
                <w:szCs w:val="20"/>
              </w:rPr>
              <w:t>.</w:t>
            </w:r>
            <w:proofErr w:type="gramStart"/>
            <w:r w:rsidRPr="000B0904">
              <w:rPr>
                <w:sz w:val="20"/>
                <w:szCs w:val="20"/>
              </w:rPr>
              <w:t>pl</w:t>
            </w:r>
            <w:proofErr w:type="gramEnd"/>
            <w:r w:rsidRPr="000B0904">
              <w:rPr>
                <w:sz w:val="20"/>
                <w:szCs w:val="20"/>
              </w:rPr>
              <w:t xml:space="preserve"> oraz zamieszczanie na niej m.in. raportów z monitoringu oraz ewaluacji.</w:t>
            </w:r>
          </w:p>
        </w:tc>
      </w:tr>
    </w:tbl>
    <w:p w:rsidR="00D91C66" w:rsidRPr="000B0904" w:rsidRDefault="00D91C66" w:rsidP="00D91C66"/>
    <w:p w:rsidR="00D91C66" w:rsidRPr="000B0904" w:rsidRDefault="00D91C66" w:rsidP="00D91C66">
      <w:r w:rsidRPr="000B0904">
        <w:t>Doświadczenie z realizacji działań ewaluacyjnych</w:t>
      </w:r>
      <w:r w:rsidRPr="000B0904">
        <w:rPr>
          <w:rStyle w:val="Odwoanieprzypisudolnego"/>
        </w:rPr>
        <w:footnoteReference w:id="1"/>
      </w:r>
      <w:r w:rsidRPr="000B0904">
        <w:t xml:space="preserve"> w okresie 2014-2020(22) oraz wdrożone rekomendacje wskazują na potrzebę kontynuowania monitoringu i ewaluacji przez LGD „Zaścianek Mazowsza” zgodnie z przyjętą procedurą monitoringu (na bieżąco) oraz ewaluacji ex-</w:t>
      </w:r>
      <w:proofErr w:type="spellStart"/>
      <w:r w:rsidRPr="000B0904">
        <w:t>ante</w:t>
      </w:r>
      <w:proofErr w:type="spellEnd"/>
      <w:r w:rsidRPr="000B0904">
        <w:t>, ex-post (2029r.) oraz ewaluacji on-</w:t>
      </w:r>
      <w:proofErr w:type="spellStart"/>
      <w:r w:rsidRPr="000B0904">
        <w:t>going</w:t>
      </w:r>
      <w:proofErr w:type="spellEnd"/>
      <w:r w:rsidRPr="000B0904">
        <w:t xml:space="preserve"> ( w szczególności na kamieniach milowych 30.06.2026</w:t>
      </w:r>
      <w:proofErr w:type="gramStart"/>
      <w:r w:rsidRPr="000B0904">
        <w:t>r</w:t>
      </w:r>
      <w:proofErr w:type="gramEnd"/>
      <w:r w:rsidRPr="000B0904">
        <w:t>. i 31.12.2027</w:t>
      </w:r>
      <w:proofErr w:type="gramStart"/>
      <w:r w:rsidRPr="000B0904">
        <w:t>r</w:t>
      </w:r>
      <w:proofErr w:type="gramEnd"/>
      <w:r w:rsidRPr="000B0904">
        <w:t>.).</w:t>
      </w:r>
    </w:p>
    <w:p w:rsidR="00D91C66" w:rsidRPr="000B0904" w:rsidRDefault="00D91C66" w:rsidP="00D91C66">
      <w:pPr>
        <w:spacing w:line="276" w:lineRule="auto"/>
      </w:pPr>
      <w:r w:rsidRPr="000B0904">
        <w:t>Ewaluacja dokonywana będzie przy zastosowaniu stosownych do rodzaju i aspektów oceny kryteriów ewaluacyjnych, zgodnie z praktyką i standardami ewaluacji</w:t>
      </w:r>
      <w:r w:rsidRPr="000B0904">
        <w:rPr>
          <w:rStyle w:val="Odwoanieprzypisudolnego"/>
        </w:rPr>
        <w:footnoteReference w:id="2"/>
      </w:r>
      <w:r w:rsidRPr="000B0904">
        <w:t>. Wśród nich m.in. w kontekście ewaluacji funkcjonowania LGD i wdrażania LSR, każdorazowo, w zależności od zakresu ewaluacji uwzględnione zostaną kryteria ewaluacyjne:</w:t>
      </w:r>
    </w:p>
    <w:p w:rsidR="00D91C66" w:rsidRPr="000B0904" w:rsidRDefault="00D91C66" w:rsidP="00D91C66">
      <w:pPr>
        <w:spacing w:line="276" w:lineRule="auto"/>
      </w:pPr>
      <w:r w:rsidRPr="000B0904">
        <w:sym w:font="Symbol" w:char="F0B7"/>
      </w:r>
      <w:r w:rsidRPr="000B0904">
        <w:t xml:space="preserve"> Trafność (</w:t>
      </w:r>
      <w:proofErr w:type="spellStart"/>
      <w:r w:rsidRPr="000B0904">
        <w:t>relevance</w:t>
      </w:r>
      <w:proofErr w:type="spellEnd"/>
      <w:r w:rsidRPr="000B0904">
        <w:t xml:space="preserve">) - w jakim stopniu przyjęte cele LSR odpowiadają zidentyfikowanym problemom na obszarze LGD i/lub realnym potrzebom społeczności lokalnej; </w:t>
      </w:r>
    </w:p>
    <w:p w:rsidR="00D91C66" w:rsidRPr="000B0904" w:rsidRDefault="00D91C66" w:rsidP="00D91C66">
      <w:pPr>
        <w:spacing w:line="276" w:lineRule="auto"/>
      </w:pPr>
      <w:r w:rsidRPr="000B0904">
        <w:sym w:font="Symbol" w:char="F0B7"/>
      </w:r>
      <w:r w:rsidRPr="000B0904">
        <w:t xml:space="preserve"> Efektywność (</w:t>
      </w:r>
      <w:proofErr w:type="spellStart"/>
      <w:r w:rsidRPr="000B0904">
        <w:t>efficiency</w:t>
      </w:r>
      <w:proofErr w:type="spellEnd"/>
      <w:r w:rsidRPr="000B0904">
        <w:t xml:space="preserve">) - ocena poziomu „ekonomiczności” wdrażania LSR, czyli stosunek poniesionych nakładów </w:t>
      </w:r>
      <w:proofErr w:type="gramStart"/>
      <w:r w:rsidRPr="000B0904">
        <w:t>rozumianych jako</w:t>
      </w:r>
      <w:proofErr w:type="gramEnd"/>
      <w:r w:rsidRPr="000B0904">
        <w:t xml:space="preserve"> zasoby finansowe, ludzkie i poświęcony czas do rezultatów; </w:t>
      </w:r>
    </w:p>
    <w:p w:rsidR="00D91C66" w:rsidRPr="000B0904" w:rsidRDefault="00D91C66" w:rsidP="00D91C66">
      <w:pPr>
        <w:spacing w:line="276" w:lineRule="auto"/>
      </w:pPr>
      <w:r w:rsidRPr="000B0904">
        <w:sym w:font="Symbol" w:char="F0B7"/>
      </w:r>
      <w:r w:rsidRPr="000B0904">
        <w:t xml:space="preserve"> Skuteczność (</w:t>
      </w:r>
      <w:proofErr w:type="spellStart"/>
      <w:r w:rsidRPr="000B0904">
        <w:t>effectiveness</w:t>
      </w:r>
      <w:proofErr w:type="spellEnd"/>
      <w:r w:rsidRPr="000B0904">
        <w:t xml:space="preserve">) - ocena, do jakiego stopnia cele LSR zdefiniowane na etapie przygotowywania zostały osiągnięte; </w:t>
      </w:r>
    </w:p>
    <w:p w:rsidR="00D91C66" w:rsidRPr="000B0904" w:rsidRDefault="00D91C66" w:rsidP="00D91C66">
      <w:pPr>
        <w:spacing w:line="276" w:lineRule="auto"/>
      </w:pPr>
      <w:r w:rsidRPr="000B0904">
        <w:sym w:font="Symbol" w:char="F0B7"/>
      </w:r>
      <w:r w:rsidRPr="000B0904">
        <w:t xml:space="preserve"> Użyteczność – na ile potrzeby beneficjentów/społeczności lokalnej zostały zaspokojone; </w:t>
      </w:r>
    </w:p>
    <w:p w:rsidR="00D91C66" w:rsidRPr="000B0904" w:rsidRDefault="00D91C66" w:rsidP="00D91C66">
      <w:pPr>
        <w:spacing w:line="276" w:lineRule="auto"/>
      </w:pPr>
      <w:r w:rsidRPr="000B0904">
        <w:sym w:font="Symbol" w:char="F0B7"/>
      </w:r>
      <w:r w:rsidRPr="000B0904">
        <w:t xml:space="preserve"> Trwałość efektów (</w:t>
      </w:r>
      <w:proofErr w:type="spellStart"/>
      <w:r w:rsidRPr="000B0904">
        <w:t>sustainability</w:t>
      </w:r>
      <w:proofErr w:type="spellEnd"/>
      <w:r w:rsidRPr="000B0904">
        <w:t xml:space="preserve">) – kryterium to pozwala ocenić czy pozytywne efekty projektu na poziomie celu mogą trwać po zakończeniu finansowania zewnętrznego, a także czy możliwe jest utrzymanie się wpływu tego projektu w dłuższym okresie na procesy rozwoju na poziomie sektora, regionu czy kraju; </w:t>
      </w:r>
    </w:p>
    <w:p w:rsidR="00D91C66" w:rsidRPr="000B0904" w:rsidRDefault="00D91C66" w:rsidP="00D91C66">
      <w:r w:rsidRPr="000B0904">
        <w:t xml:space="preserve">Organem doradczym, czuwającym nad prawidłowym procesem wdrażania LSR, monitoringu i ewaluacji, jest powołany decyzją Walnego Zebrania Członków Stowarzyszenia LGD „Zaścianek </w:t>
      </w:r>
      <w:proofErr w:type="gramStart"/>
      <w:r w:rsidRPr="000B0904">
        <w:t>Mazowsza”  Zespół</w:t>
      </w:r>
      <w:proofErr w:type="gramEnd"/>
      <w:r w:rsidRPr="000B0904">
        <w:t xml:space="preserve"> ds. Monitoringu i Ewaluacji LSR. Obsługę posiedzeń Zespołu zapewnia biuro LGD. Spotkania będą odbywały się w miarę potrzeb, nie rzadziej niż raz do roku, celem:</w:t>
      </w:r>
    </w:p>
    <w:p w:rsidR="00D91C66" w:rsidRPr="000B0904" w:rsidRDefault="00D91C66" w:rsidP="00D91C66">
      <w:pPr>
        <w:numPr>
          <w:ilvl w:val="0"/>
          <w:numId w:val="1"/>
        </w:numPr>
      </w:pPr>
      <w:proofErr w:type="gramStart"/>
      <w:r w:rsidRPr="000B0904">
        <w:t>zatwierdzanie</w:t>
      </w:r>
      <w:proofErr w:type="gramEnd"/>
      <w:r w:rsidRPr="000B0904">
        <w:t xml:space="preserve"> narzędzi do monitoringu;</w:t>
      </w:r>
    </w:p>
    <w:p w:rsidR="00D91C66" w:rsidRPr="000B0904" w:rsidRDefault="00D91C66" w:rsidP="00D91C66">
      <w:pPr>
        <w:numPr>
          <w:ilvl w:val="0"/>
          <w:numId w:val="1"/>
        </w:numPr>
      </w:pPr>
      <w:proofErr w:type="gramStart"/>
      <w:r w:rsidRPr="000B0904">
        <w:lastRenderedPageBreak/>
        <w:t>opiniowanie</w:t>
      </w:r>
      <w:proofErr w:type="gramEnd"/>
      <w:r w:rsidRPr="000B0904">
        <w:t xml:space="preserve"> i zatwierdzanie opracowywanych przez Biuro LGD raportów;</w:t>
      </w:r>
    </w:p>
    <w:p w:rsidR="00D91C66" w:rsidRPr="000B0904" w:rsidRDefault="00D91C66" w:rsidP="00D91C66">
      <w:pPr>
        <w:numPr>
          <w:ilvl w:val="0"/>
          <w:numId w:val="1"/>
        </w:numPr>
      </w:pPr>
      <w:proofErr w:type="gramStart"/>
      <w:r w:rsidRPr="000B0904">
        <w:t>opiniowanie</w:t>
      </w:r>
      <w:proofErr w:type="gramEnd"/>
      <w:r w:rsidRPr="000B0904">
        <w:t xml:space="preserve"> raportów z ewaluacji bieżącej, śródokresowej, końcowej oraz przedkładanie ich Zarządowi, Komisji Rewizyjnej oraz Walnemu Zebraniu Członków Stowarzyszenia LGD „Zaścianek Mazowsza”.</w:t>
      </w:r>
    </w:p>
    <w:p w:rsidR="00D91C66" w:rsidRPr="000B0904" w:rsidRDefault="00D91C66" w:rsidP="00D91C66">
      <w:r w:rsidRPr="000B0904">
        <w:t>LGD przystępując do badania ewaluacyjnego, każdorazowo wspólnie z podmiotem dokonującym ewaluacji (Biuro LGD/podmiot zewnętrzny) będzie przygotowywało wytyczne do ewaluacji (on-</w:t>
      </w:r>
      <w:proofErr w:type="spellStart"/>
      <w:r w:rsidRPr="000B0904">
        <w:t>going</w:t>
      </w:r>
      <w:proofErr w:type="spellEnd"/>
      <w:r w:rsidRPr="000B0904">
        <w:t>/ex-post), w których postawione zostaną pytania ewaluacyjne, uwzględniające odpowiednio dopasowane i opisane kryteria ewaluacyjne.</w:t>
      </w:r>
    </w:p>
    <w:tbl>
      <w:tblPr>
        <w:tblStyle w:val="Tabelasiatki4akcent2"/>
        <w:tblW w:w="0" w:type="auto"/>
        <w:tblLook w:val="04A0" w:firstRow="1" w:lastRow="0" w:firstColumn="1" w:lastColumn="0" w:noHBand="0" w:noVBand="1"/>
      </w:tblPr>
      <w:tblGrid>
        <w:gridCol w:w="9062"/>
      </w:tblGrid>
      <w:tr w:rsidR="00D91C66" w:rsidRPr="000B0904" w:rsidTr="00A958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jc w:val="center"/>
              <w:rPr>
                <w:b w:val="0"/>
              </w:rPr>
            </w:pPr>
            <w:r w:rsidRPr="000B0904">
              <w:t xml:space="preserve">OKREŚLENIE ELEMENTÓW/CZASU/ SPOSOBU REALIZACJI I WYKORZYSTANIA WYNIKÓW </w:t>
            </w:r>
          </w:p>
        </w:tc>
      </w:tr>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jc w:val="center"/>
              <w:rPr>
                <w:b w:val="0"/>
                <w:bCs w:val="0"/>
              </w:rPr>
            </w:pPr>
          </w:p>
          <w:p w:rsidR="00D91C66" w:rsidRPr="000B0904" w:rsidRDefault="00D91C66" w:rsidP="00A9587F">
            <w:pPr>
              <w:jc w:val="center"/>
              <w:rPr>
                <w:b w:val="0"/>
              </w:rPr>
            </w:pPr>
            <w:r w:rsidRPr="000B0904">
              <w:t>PROCEDURA PROWADZENIA EWALUACJI w LGD „ZAŚCIANEK MAZOWSZA”</w:t>
            </w:r>
          </w:p>
        </w:tc>
      </w:tr>
      <w:tr w:rsidR="00D91C66" w:rsidRPr="000B0904" w:rsidTr="00A9587F">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rPr>
                <w:b w:val="0"/>
              </w:rPr>
            </w:pPr>
            <w:r w:rsidRPr="000B0904">
              <w:t>Ewaluacja on-</w:t>
            </w:r>
            <w:proofErr w:type="spellStart"/>
            <w:r w:rsidRPr="000B0904">
              <w:t>going</w:t>
            </w:r>
            <w:proofErr w:type="spellEnd"/>
            <w:r w:rsidRPr="000B0904">
              <w:t xml:space="preserve"> funkcjonowania LGD, dwuletnia w okresach 2024-06.2026 (</w:t>
            </w:r>
            <w:proofErr w:type="gramStart"/>
            <w:r w:rsidRPr="000B0904">
              <w:t>realizowana</w:t>
            </w:r>
            <w:proofErr w:type="gramEnd"/>
            <w:r w:rsidRPr="000B0904">
              <w:t xml:space="preserve"> do 30.06.  2026</w:t>
            </w:r>
            <w:proofErr w:type="gramStart"/>
            <w:r w:rsidRPr="000B0904">
              <w:t>r</w:t>
            </w:r>
            <w:proofErr w:type="gramEnd"/>
            <w:r w:rsidRPr="000B0904">
              <w:t>. na kamieniu milowym) 06.2026-2027 (</w:t>
            </w:r>
            <w:proofErr w:type="gramStart"/>
            <w:r w:rsidRPr="000B0904">
              <w:t>realizowana</w:t>
            </w:r>
            <w:proofErr w:type="gramEnd"/>
            <w:r w:rsidRPr="000B0904">
              <w:t xml:space="preserve"> do 31.12.2027</w:t>
            </w:r>
            <w:proofErr w:type="gramStart"/>
            <w:r w:rsidRPr="000B0904">
              <w:t>r</w:t>
            </w:r>
            <w:proofErr w:type="gramEnd"/>
            <w:r w:rsidRPr="000B0904">
              <w:t xml:space="preserve"> na kamieniu milowym) oraz 2028-2029 (realizowana do 12.2029 </w:t>
            </w:r>
            <w:proofErr w:type="gramStart"/>
            <w:r w:rsidRPr="000B0904">
              <w:t>na</w:t>
            </w:r>
            <w:proofErr w:type="gramEnd"/>
            <w:r w:rsidRPr="000B0904">
              <w:t xml:space="preserve"> zakończenie wdrażania LSR),</w:t>
            </w:r>
            <w:r w:rsidRPr="000B0904">
              <w:rPr>
                <w:b w:val="0"/>
              </w:rPr>
              <w:t xml:space="preserve"> będzie przeprowadzana wewnętrznie – na podstawie metodologii sporządzonej przez pracowników biura, z wyjątkiem ewaluacji końcowej – zleconej niezależnemu podmiotowi zewnętrznemu. Raport z ewaluacji poddany zostanie opinii Zespołowi ds. Monitoringu i Ewaluacji LSR oraz ocenie Komisji Rewizyjnej, która jej dokona i wyda rekomendacje po przeanalizowaniu wszystkich zrealizowanych działań i operacji, pod kątem określenia efektów tych przedsięwzięć, a także wpływu, jaki miała ich realizacja na osiągnięcie celu zakładanego w LSR. </w:t>
            </w:r>
          </w:p>
          <w:p w:rsidR="00D91C66" w:rsidRPr="000B0904" w:rsidRDefault="00D91C66" w:rsidP="00A9587F">
            <w:pPr>
              <w:rPr>
                <w:b w:val="0"/>
              </w:rPr>
            </w:pPr>
          </w:p>
        </w:tc>
      </w:tr>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rPr>
                <w:b w:val="0"/>
              </w:rPr>
            </w:pPr>
            <w:r w:rsidRPr="000B0904">
              <w:t>Ewaluacja ex-post funkcjonowania LGD (2027)</w:t>
            </w:r>
            <w:r w:rsidRPr="000B0904">
              <w:rPr>
                <w:b w:val="0"/>
              </w:rPr>
              <w:t xml:space="preserve"> będzie prowadzona przez Komisję Rewizyjną LGD we współpracy z podmiotem zewnętrznym, który dokona oceny pracy biura LGD, pracy Zarządu LGD, efektywności stosowanych procedur. Przedstawi wnioski w formie uwag i rekomendacji dotyczących zmian w sposobie funkcjonowania LGD, które zapewnią wyższą efektywność działania LGD i lepsze osiągnięcie celów zakładanych w LSR. </w:t>
            </w:r>
          </w:p>
        </w:tc>
      </w:tr>
      <w:tr w:rsidR="00D91C66" w:rsidRPr="000B0904" w:rsidTr="00A9587F">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rPr>
                <w:b w:val="0"/>
              </w:rPr>
            </w:pPr>
            <w:r w:rsidRPr="000B0904">
              <w:t>Ewaluacja ex-</w:t>
            </w:r>
            <w:proofErr w:type="spellStart"/>
            <w:r w:rsidRPr="000B0904">
              <w:t>ante</w:t>
            </w:r>
            <w:proofErr w:type="spellEnd"/>
            <w:r w:rsidRPr="000B0904">
              <w:t xml:space="preserve"> w procedurze ad hoc:</w:t>
            </w:r>
            <w:r w:rsidRPr="000B0904">
              <w:rPr>
                <w:b w:val="0"/>
              </w:rPr>
              <w:t xml:space="preserve"> dokonywana będzie w zależności od potrzeb przez Zarząd LGD na wniosek Zespołu ds. Monitoringu i Ewaluacji LSR/ społeczności przez stronę www/organów LGD/innych (zgłaszanie wniosków przez uprawnione organy/społeczność LGD przez stronę www) i dotyczyć będzie typów przedsięwzięć/celów, które są znajdą się w fazie planowania i podejmowania decyzji o ich realizacji. Organem właściwym do wykonania ewaluacji ex </w:t>
            </w:r>
            <w:proofErr w:type="spellStart"/>
            <w:r w:rsidRPr="000B0904">
              <w:rPr>
                <w:b w:val="0"/>
              </w:rPr>
              <w:t>ante</w:t>
            </w:r>
            <w:proofErr w:type="spellEnd"/>
            <w:r w:rsidRPr="000B0904">
              <w:rPr>
                <w:b w:val="0"/>
              </w:rPr>
              <w:t xml:space="preserve"> jest Zarząd LGD. Ocena polega na obowiązku sporządzenia analizy w stosunku do każdego planowanego przedsięwzięcia, która obejmie: cel jego realizacji, zakres osiągania celów określonych w LSR poprzez planowane przedsięwzięcie, grupę docelową, w tym wpływ na grupy LSR w szczególnej sytuacji;</w:t>
            </w:r>
          </w:p>
        </w:tc>
      </w:tr>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8EAADB" w:themeFill="accent1" w:themeFillTint="99"/>
          </w:tcPr>
          <w:p w:rsidR="00D91C66" w:rsidRPr="000B0904" w:rsidRDefault="00D91C66" w:rsidP="00A9587F">
            <w:pPr>
              <w:jc w:val="center"/>
            </w:pPr>
            <w:bookmarkStart w:id="1" w:name="_Hlk134274585"/>
            <w:r w:rsidRPr="000B0904">
              <w:t>SPOSÓB WYKORZYSTANIA WYNIKÓW EWALUACJI ON-GOING/EX-POST EX-ANTE:</w:t>
            </w:r>
          </w:p>
        </w:tc>
      </w:tr>
      <w:tr w:rsidR="00D91C66" w:rsidRPr="000B0904" w:rsidTr="00A9587F">
        <w:tc>
          <w:tcPr>
            <w:cnfStyle w:val="001000000000" w:firstRow="0" w:lastRow="0" w:firstColumn="1" w:lastColumn="0" w:oddVBand="0" w:evenVBand="0" w:oddHBand="0" w:evenHBand="0" w:firstRowFirstColumn="0" w:firstRowLastColumn="0" w:lastRowFirstColumn="0" w:lastRowLastColumn="0"/>
            <w:tcW w:w="9627" w:type="dxa"/>
          </w:tcPr>
          <w:p w:rsidR="00D91C66" w:rsidRPr="000B0904" w:rsidRDefault="00D91C66" w:rsidP="00A9587F">
            <w:pPr>
              <w:rPr>
                <w:b w:val="0"/>
              </w:rPr>
            </w:pPr>
            <w:r w:rsidRPr="000B0904">
              <w:rPr>
                <w:b w:val="0"/>
              </w:rPr>
              <w:t>Raporty z ewaluacji on-</w:t>
            </w:r>
            <w:proofErr w:type="spellStart"/>
            <w:r w:rsidRPr="000B0904">
              <w:rPr>
                <w:b w:val="0"/>
              </w:rPr>
              <w:t>going</w:t>
            </w:r>
            <w:proofErr w:type="spellEnd"/>
            <w:r w:rsidRPr="000B0904">
              <w:rPr>
                <w:b w:val="0"/>
              </w:rPr>
              <w:t xml:space="preserve"> posłużą do wprowadzenia ewentualnych korekt do LSR, wynikających z śródokresowej oceny wdrażania LSR i rekomendacji. Raporty z dwóch ewaluacji on-</w:t>
            </w:r>
            <w:proofErr w:type="spellStart"/>
            <w:r w:rsidRPr="000B0904">
              <w:rPr>
                <w:b w:val="0"/>
              </w:rPr>
              <w:t>going</w:t>
            </w:r>
            <w:proofErr w:type="spellEnd"/>
            <w:r w:rsidRPr="000B0904">
              <w:rPr>
                <w:b w:val="0"/>
              </w:rPr>
              <w:t xml:space="preserve"> funkcjonowania LGD posłużą do wprowadzenia ewentualnych modyfikacji procesu zarządzania LGD, sposobu świadczenia usług (doradztwa), animacji, wynikających z oceny LGD i rekomendacji Podmiotu Zewnętrznego.</w:t>
            </w:r>
          </w:p>
        </w:tc>
      </w:tr>
      <w:bookmarkEnd w:id="1"/>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ED7D31" w:themeFill="accent2"/>
          </w:tcPr>
          <w:p w:rsidR="00D91C66" w:rsidRPr="000B0904" w:rsidRDefault="00D91C66" w:rsidP="00A9587F">
            <w:pPr>
              <w:jc w:val="center"/>
              <w:rPr>
                <w:color w:val="FFFFFF" w:themeColor="background1"/>
              </w:rPr>
            </w:pPr>
            <w:r w:rsidRPr="000B0904">
              <w:rPr>
                <w:color w:val="FFFFFF" w:themeColor="background1"/>
              </w:rPr>
              <w:lastRenderedPageBreak/>
              <w:t>OKREŚLENIE ELEMENTÓW/CZASU/ SPOSOBU REALIZACJI</w:t>
            </w:r>
          </w:p>
        </w:tc>
      </w:tr>
      <w:tr w:rsidR="00D91C66" w:rsidRPr="000B0904" w:rsidTr="00A9587F">
        <w:tc>
          <w:tcPr>
            <w:cnfStyle w:val="001000000000" w:firstRow="0" w:lastRow="0" w:firstColumn="1" w:lastColumn="0" w:oddVBand="0" w:evenVBand="0" w:oddHBand="0" w:evenHBand="0" w:firstRowFirstColumn="0" w:firstRowLastColumn="0" w:lastRowFirstColumn="0" w:lastRowLastColumn="0"/>
            <w:tcW w:w="9627" w:type="dxa"/>
            <w:shd w:val="clear" w:color="auto" w:fill="FBE4D5" w:themeFill="accent2" w:themeFillTint="33"/>
          </w:tcPr>
          <w:p w:rsidR="00D91C66" w:rsidRPr="000B0904" w:rsidRDefault="00D91C66" w:rsidP="00A9587F">
            <w:pPr>
              <w:jc w:val="center"/>
              <w:rPr>
                <w:b w:val="0"/>
                <w:bCs w:val="0"/>
              </w:rPr>
            </w:pPr>
          </w:p>
          <w:p w:rsidR="00D91C66" w:rsidRPr="000B0904" w:rsidRDefault="00D91C66" w:rsidP="00A9587F">
            <w:pPr>
              <w:jc w:val="center"/>
            </w:pPr>
            <w:r w:rsidRPr="000B0904">
              <w:t>PROCEDURY PROWADZENIA MONITORINGU w LGD „ZAŚCIANEK MAZOWSZA”</w:t>
            </w:r>
          </w:p>
        </w:tc>
      </w:tr>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FFFFFF" w:themeFill="background1"/>
          </w:tcPr>
          <w:p w:rsidR="00D91C66" w:rsidRPr="000B0904" w:rsidRDefault="00D91C66" w:rsidP="00A9587F">
            <w:pPr>
              <w:rPr>
                <w:b w:val="0"/>
              </w:rPr>
            </w:pPr>
            <w:r w:rsidRPr="000B0904">
              <w:rPr>
                <w:b w:val="0"/>
              </w:rPr>
              <w:t>Bieżący monitoring wdrażania LSR i funkcjonowania LGD (2024,2025,2026,2027), realizowany będzie wewnętrznie przez Biuro LGD. Sprawozdanie roczne monitoringowe przedkładane będzie do samorządu Województwa Mazowieckiego oraz Komisji Rewizyjnej LGD „Zaścianek Mazowsza”, ponadto będzie zaprezentowane na Walnym Zgromadzeniu członków LGD. Obowiązkowymi elementami monitoringu będą: statystyki związane z wykorzystaniem środków w ramach poszczególnych działań oraz prezentacja wskaźników poszczególnych działań w odniesieniu do zakładanych wartości. Treść sprawozdania monitoringowego będzie zamieszczona na stronie internetowej LGD.</w:t>
            </w:r>
          </w:p>
        </w:tc>
      </w:tr>
      <w:tr w:rsidR="00D91C66" w:rsidRPr="000B0904" w:rsidTr="00A9587F">
        <w:tc>
          <w:tcPr>
            <w:cnfStyle w:val="001000000000" w:firstRow="0" w:lastRow="0" w:firstColumn="1" w:lastColumn="0" w:oddVBand="0" w:evenVBand="0" w:oddHBand="0" w:evenHBand="0" w:firstRowFirstColumn="0" w:firstRowLastColumn="0" w:lastRowFirstColumn="0" w:lastRowLastColumn="0"/>
            <w:tcW w:w="9627" w:type="dxa"/>
            <w:shd w:val="clear" w:color="auto" w:fill="8EAADB" w:themeFill="accent1" w:themeFillTint="99"/>
          </w:tcPr>
          <w:p w:rsidR="00D91C66" w:rsidRPr="000B0904" w:rsidRDefault="00D91C66" w:rsidP="00A9587F">
            <w:pPr>
              <w:jc w:val="center"/>
            </w:pPr>
            <w:r w:rsidRPr="000B0904">
              <w:t>SPOSÓB WYKORZYSTANIA WYNIKÓW ANALIZ MONITORINGOWYCH:</w:t>
            </w:r>
          </w:p>
        </w:tc>
      </w:tr>
      <w:tr w:rsidR="00D91C66" w:rsidRPr="000B0904" w:rsidTr="00A9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7" w:type="dxa"/>
            <w:shd w:val="clear" w:color="auto" w:fill="FFFFFF" w:themeFill="background1"/>
          </w:tcPr>
          <w:p w:rsidR="00D91C66" w:rsidRPr="000B0904" w:rsidRDefault="00D91C66" w:rsidP="00A9587F">
            <w:pPr>
              <w:rPr>
                <w:b w:val="0"/>
              </w:rPr>
            </w:pPr>
            <w:r w:rsidRPr="000B0904">
              <w:rPr>
                <w:b w:val="0"/>
              </w:rPr>
              <w:t xml:space="preserve">Sprawozdania roczne zostaną </w:t>
            </w:r>
            <w:proofErr w:type="gramStart"/>
            <w:r w:rsidRPr="000B0904">
              <w:rPr>
                <w:b w:val="0"/>
              </w:rPr>
              <w:t>wykorzystane jako</w:t>
            </w:r>
            <w:proofErr w:type="gramEnd"/>
            <w:r w:rsidRPr="000B0904">
              <w:rPr>
                <w:b w:val="0"/>
              </w:rPr>
              <w:t xml:space="preserve"> materiał wyjściowy do ewaluacji on-</w:t>
            </w:r>
            <w:proofErr w:type="spellStart"/>
            <w:r w:rsidRPr="000B0904">
              <w:rPr>
                <w:b w:val="0"/>
              </w:rPr>
              <w:t>going</w:t>
            </w:r>
            <w:proofErr w:type="spellEnd"/>
            <w:r w:rsidRPr="000B0904">
              <w:rPr>
                <w:b w:val="0"/>
              </w:rPr>
              <w:t xml:space="preserve"> oraz na ich podstawie planowane mogą być nowe przedsięwzięcia w LSR, oceniane w ewaluacji ex-</w:t>
            </w:r>
            <w:proofErr w:type="spellStart"/>
            <w:r w:rsidRPr="000B0904">
              <w:rPr>
                <w:b w:val="0"/>
              </w:rPr>
              <w:t>ante</w:t>
            </w:r>
            <w:proofErr w:type="spellEnd"/>
            <w:r w:rsidRPr="000B0904">
              <w:rPr>
                <w:b w:val="0"/>
              </w:rPr>
              <w:t>.</w:t>
            </w:r>
          </w:p>
          <w:p w:rsidR="00D91C66" w:rsidRPr="000B0904" w:rsidRDefault="00D91C66" w:rsidP="00A9587F">
            <w:pPr>
              <w:rPr>
                <w:b w:val="0"/>
              </w:rPr>
            </w:pPr>
          </w:p>
        </w:tc>
      </w:tr>
    </w:tbl>
    <w:p w:rsidR="00395F41" w:rsidRDefault="00395F41"/>
    <w:sectPr w:rsidR="00395F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490" w:rsidRDefault="00F17490" w:rsidP="00D91C66">
      <w:pPr>
        <w:spacing w:after="0" w:line="240" w:lineRule="auto"/>
      </w:pPr>
      <w:r>
        <w:separator/>
      </w:r>
    </w:p>
  </w:endnote>
  <w:endnote w:type="continuationSeparator" w:id="0">
    <w:p w:rsidR="00F17490" w:rsidRDefault="00F17490" w:rsidP="00D91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20002A87" w:usb1="00000000" w:usb2="00000000"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490" w:rsidRDefault="00F17490" w:rsidP="00D91C66">
      <w:pPr>
        <w:spacing w:after="0" w:line="240" w:lineRule="auto"/>
      </w:pPr>
      <w:r>
        <w:separator/>
      </w:r>
    </w:p>
  </w:footnote>
  <w:footnote w:type="continuationSeparator" w:id="0">
    <w:p w:rsidR="00F17490" w:rsidRDefault="00F17490" w:rsidP="00D91C66">
      <w:pPr>
        <w:spacing w:after="0" w:line="240" w:lineRule="auto"/>
      </w:pPr>
      <w:r>
        <w:continuationSeparator/>
      </w:r>
    </w:p>
  </w:footnote>
  <w:footnote w:id="1">
    <w:p w:rsidR="00D91C66" w:rsidRDefault="00D91C66" w:rsidP="00D91C66">
      <w:pPr>
        <w:pStyle w:val="Tekstprzypisudolnego"/>
      </w:pPr>
      <w:r>
        <w:rPr>
          <w:rStyle w:val="Odwoanieprzypisudolnego"/>
        </w:rPr>
        <w:footnoteRef/>
      </w:r>
      <w:r>
        <w:t xml:space="preserve"> Raport z badania ewaluacyjnego Lokalnej Strategii Rozwoju Lokalnej Grupy Działania „Zaścianek Mazowsza”, Troszyn, 2022.</w:t>
      </w:r>
    </w:p>
  </w:footnote>
  <w:footnote w:id="2">
    <w:p w:rsidR="00D91C66" w:rsidRDefault="00D91C66" w:rsidP="00D91C66">
      <w:pPr>
        <w:pStyle w:val="Tekstprzypisudolnego"/>
      </w:pPr>
      <w:r>
        <w:rPr>
          <w:rStyle w:val="Odwoanieprzypisudolnego"/>
        </w:rPr>
        <w:footnoteRef/>
      </w:r>
      <w:r>
        <w:t xml:space="preserve"> </w:t>
      </w:r>
      <w:r w:rsidRPr="003D5858">
        <w:t>https</w:t>
      </w:r>
      <w:proofErr w:type="gramStart"/>
      <w:r w:rsidRPr="003D5858">
        <w:t>://pte</w:t>
      </w:r>
      <w:proofErr w:type="gramEnd"/>
      <w:r w:rsidRPr="003D5858">
        <w:t>.</w:t>
      </w:r>
      <w:proofErr w:type="gramStart"/>
      <w:r w:rsidRPr="003D5858">
        <w:t>org</w:t>
      </w:r>
      <w:proofErr w:type="gramEnd"/>
      <w:r w:rsidRPr="003D5858">
        <w:t>.pl/wp-content/uploads/2015/08/Standardy_ewaluacji_PTE.</w:t>
      </w:r>
      <w:proofErr w:type="gramStart"/>
      <w:r w:rsidRPr="003D5858">
        <w:t>pdf</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75pt;height:375pt" o:bullet="t">
        <v:imagedata r:id="rId1" o:title="punktor"/>
      </v:shape>
    </w:pict>
  </w:numPicBullet>
  <w:abstractNum w:abstractNumId="0" w15:restartNumberingAfterBreak="0">
    <w:nsid w:val="4BAB2F8F"/>
    <w:multiLevelType w:val="hybridMultilevel"/>
    <w:tmpl w:val="2A40673C"/>
    <w:lvl w:ilvl="0" w:tplc="5EF0A12A">
      <w:start w:val="1"/>
      <w:numFmt w:val="bullet"/>
      <w:lvlText w:val=""/>
      <w:lvlPicBulletId w:val="0"/>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66"/>
    <w:rsid w:val="000C5953"/>
    <w:rsid w:val="000D713D"/>
    <w:rsid w:val="00104F09"/>
    <w:rsid w:val="00290ADF"/>
    <w:rsid w:val="00293604"/>
    <w:rsid w:val="002A5746"/>
    <w:rsid w:val="002A78A9"/>
    <w:rsid w:val="00330719"/>
    <w:rsid w:val="0033382D"/>
    <w:rsid w:val="00395F41"/>
    <w:rsid w:val="003C3916"/>
    <w:rsid w:val="003F2EEA"/>
    <w:rsid w:val="0040227D"/>
    <w:rsid w:val="00420C07"/>
    <w:rsid w:val="0047169A"/>
    <w:rsid w:val="004D6DFC"/>
    <w:rsid w:val="004F1BE1"/>
    <w:rsid w:val="00506973"/>
    <w:rsid w:val="005141E1"/>
    <w:rsid w:val="00524FD6"/>
    <w:rsid w:val="00552001"/>
    <w:rsid w:val="005E58FE"/>
    <w:rsid w:val="006411CB"/>
    <w:rsid w:val="00684913"/>
    <w:rsid w:val="00787541"/>
    <w:rsid w:val="00791185"/>
    <w:rsid w:val="007D73E3"/>
    <w:rsid w:val="007F1955"/>
    <w:rsid w:val="008746B3"/>
    <w:rsid w:val="00930023"/>
    <w:rsid w:val="009C438A"/>
    <w:rsid w:val="009F7B8F"/>
    <w:rsid w:val="00A10D59"/>
    <w:rsid w:val="00AA39C5"/>
    <w:rsid w:val="00B33F75"/>
    <w:rsid w:val="00BA1708"/>
    <w:rsid w:val="00C72D32"/>
    <w:rsid w:val="00CB0A2C"/>
    <w:rsid w:val="00CF7472"/>
    <w:rsid w:val="00D31000"/>
    <w:rsid w:val="00D45ADF"/>
    <w:rsid w:val="00D91C66"/>
    <w:rsid w:val="00DA41B8"/>
    <w:rsid w:val="00DC3779"/>
    <w:rsid w:val="00EA79D9"/>
    <w:rsid w:val="00F17490"/>
    <w:rsid w:val="00FB39C6"/>
    <w:rsid w:val="00FC1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98C304-49D4-4D78-ABA4-6CAA48B39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1C66"/>
    <w:pPr>
      <w:spacing w:after="120" w:line="264" w:lineRule="auto"/>
      <w:jc w:val="both"/>
    </w:pPr>
    <w:rPr>
      <w:rFonts w:ascii="Calibri" w:eastAsiaTheme="minorEastAsia" w:hAnsi="Calibri" w:cs="Calibri"/>
      <w:spacing w:val="6"/>
      <w:lang w:eastAsia="pl-PL"/>
    </w:rPr>
  </w:style>
  <w:style w:type="paragraph" w:styleId="Nagwek1">
    <w:name w:val="heading 1"/>
    <w:basedOn w:val="Normalny"/>
    <w:next w:val="Normalny"/>
    <w:link w:val="Nagwek1Znak"/>
    <w:autoRedefine/>
    <w:uiPriority w:val="9"/>
    <w:qFormat/>
    <w:rsid w:val="00D91C66"/>
    <w:pPr>
      <w:keepNext/>
      <w:keepLines/>
      <w:spacing w:before="120" w:line="276" w:lineRule="auto"/>
      <w:jc w:val="left"/>
      <w:outlineLvl w:val="0"/>
    </w:pPr>
    <w:rPr>
      <w:rFonts w:eastAsiaTheme="majorEastAsia"/>
      <w:b/>
      <w:color w:val="1F3864" w:themeColor="accent1" w:themeShade="80"/>
      <w:sz w:val="32"/>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link w:val="Styl1Znak"/>
    <w:qFormat/>
    <w:rsid w:val="006411CB"/>
    <w:pPr>
      <w:spacing w:after="14" w:line="269" w:lineRule="auto"/>
      <w:ind w:left="432" w:right="7" w:hanging="365"/>
    </w:pPr>
    <w:rPr>
      <w:rFonts w:eastAsia="Times New Roman" w:cs="Times New Roman"/>
      <w:color w:val="000000"/>
      <w:sz w:val="24"/>
    </w:rPr>
  </w:style>
  <w:style w:type="character" w:customStyle="1" w:styleId="Styl1Znak">
    <w:name w:val="Styl1 Znak"/>
    <w:basedOn w:val="Domylnaczcionkaakapitu"/>
    <w:link w:val="Styl1"/>
    <w:rsid w:val="006411CB"/>
    <w:rPr>
      <w:rFonts w:eastAsia="Times New Roman" w:cs="Times New Roman"/>
      <w:color w:val="000000"/>
      <w:sz w:val="24"/>
    </w:rPr>
  </w:style>
  <w:style w:type="paragraph" w:styleId="Legenda">
    <w:name w:val="caption"/>
    <w:basedOn w:val="Normalny"/>
    <w:next w:val="Normalny"/>
    <w:autoRedefine/>
    <w:uiPriority w:val="35"/>
    <w:unhideWhenUsed/>
    <w:qFormat/>
    <w:rsid w:val="00104F09"/>
    <w:pPr>
      <w:keepNext/>
      <w:spacing w:after="200" w:line="240" w:lineRule="auto"/>
    </w:pPr>
    <w:rPr>
      <w:rFonts w:ascii="Times New Roman" w:hAnsi="Times New Roman" w:cs="Times New Roman"/>
      <w:iCs/>
      <w:color w:val="44546A" w:themeColor="text2"/>
      <w:sz w:val="20"/>
      <w:szCs w:val="18"/>
    </w:rPr>
  </w:style>
  <w:style w:type="character" w:customStyle="1" w:styleId="Nagwek1Znak">
    <w:name w:val="Nagłówek 1 Znak"/>
    <w:basedOn w:val="Domylnaczcionkaakapitu"/>
    <w:link w:val="Nagwek1"/>
    <w:uiPriority w:val="9"/>
    <w:rsid w:val="00D91C66"/>
    <w:rPr>
      <w:rFonts w:ascii="Calibri" w:eastAsiaTheme="majorEastAsia" w:hAnsi="Calibri" w:cs="Calibri"/>
      <w:b/>
      <w:color w:val="1F3864" w:themeColor="accent1" w:themeShade="80"/>
      <w:spacing w:val="6"/>
      <w:sz w:val="32"/>
      <w:szCs w:val="26"/>
      <w:lang w:eastAsia="pl-PL"/>
    </w:rPr>
  </w:style>
  <w:style w:type="paragraph" w:styleId="Tekstprzypisudolnego">
    <w:name w:val="footnote text"/>
    <w:basedOn w:val="Normalny"/>
    <w:link w:val="TekstprzypisudolnegoZnak"/>
    <w:uiPriority w:val="99"/>
    <w:unhideWhenUsed/>
    <w:rsid w:val="00D91C66"/>
  </w:style>
  <w:style w:type="character" w:customStyle="1" w:styleId="TekstprzypisudolnegoZnak">
    <w:name w:val="Tekst przypisu dolnego Znak"/>
    <w:basedOn w:val="Domylnaczcionkaakapitu"/>
    <w:link w:val="Tekstprzypisudolnego"/>
    <w:uiPriority w:val="99"/>
    <w:rsid w:val="00D91C66"/>
    <w:rPr>
      <w:rFonts w:ascii="Calibri" w:eastAsiaTheme="minorEastAsia" w:hAnsi="Calibri" w:cs="Calibri"/>
      <w:spacing w:val="6"/>
      <w:lang w:eastAsia="pl-PL"/>
    </w:rPr>
  </w:style>
  <w:style w:type="character" w:styleId="Odwoanieprzypisudolnego">
    <w:name w:val="footnote reference"/>
    <w:uiPriority w:val="99"/>
    <w:semiHidden/>
    <w:unhideWhenUsed/>
    <w:rsid w:val="00D91C66"/>
    <w:rPr>
      <w:vertAlign w:val="superscript"/>
    </w:rPr>
  </w:style>
  <w:style w:type="table" w:styleId="Tabela-Siatka">
    <w:name w:val="Table Grid"/>
    <w:basedOn w:val="Standardowy"/>
    <w:uiPriority w:val="59"/>
    <w:rsid w:val="00D91C66"/>
    <w:pPr>
      <w:spacing w:after="120" w:line="264" w:lineRule="auto"/>
    </w:pPr>
    <w:rPr>
      <w:rFonts w:ascii="Times" w:eastAsia="Times New Roman" w:hAnsi="Times" w:cs="Calibri"/>
      <w:color w:val="2F5496" w:themeColor="accent1" w:themeShade="BF"/>
      <w:spacing w:val="6"/>
      <w:sz w:val="24"/>
      <w:szCs w:val="24"/>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i4akcent2">
    <w:name w:val="Grid Table 4 Accent 2"/>
    <w:basedOn w:val="Standardowy"/>
    <w:uiPriority w:val="49"/>
    <w:rsid w:val="00D91C66"/>
    <w:pPr>
      <w:spacing w:after="0" w:line="240" w:lineRule="auto"/>
    </w:pPr>
    <w:rPr>
      <w:rFonts w:ascii="Calibri" w:eastAsiaTheme="minorEastAsia" w:hAnsi="Calibri" w:cs="Calibri"/>
      <w:color w:val="2F5496" w:themeColor="accent1" w:themeShade="BF"/>
      <w:spacing w:val="6"/>
      <w:lang w:eastAsia="pl-PL"/>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937</Words>
  <Characters>5628</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Konto Microsoft</cp:lastModifiedBy>
  <cp:revision>2</cp:revision>
  <dcterms:created xsi:type="dcterms:W3CDTF">2023-05-10T06:29:00Z</dcterms:created>
  <dcterms:modified xsi:type="dcterms:W3CDTF">2023-05-10T06:29:00Z</dcterms:modified>
</cp:coreProperties>
</file>